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bCs/>
          <w:lang w:val="en-CA"/>
        </w:rPr>
      </w:pPr>
      <w:bookmarkStart w:id="0" w:name="_GoBack"/>
      <w:bookmarkEnd w:id="0"/>
    </w:p>
    <w:p w:rsidR="00186065" w:rsidRPr="0056789A" w:rsidRDefault="00E330F6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bCs/>
        </w:rPr>
      </w:pPr>
      <w:r w:rsidRPr="0056789A">
        <w:rPr>
          <w:b/>
          <w:bCs/>
          <w:lang w:val="en-CA"/>
        </w:rPr>
        <w:fldChar w:fldCharType="begin"/>
      </w:r>
      <w:r w:rsidR="00186065" w:rsidRPr="0056789A">
        <w:rPr>
          <w:b/>
          <w:bCs/>
          <w:lang w:val="en-CA"/>
        </w:rPr>
        <w:instrText xml:space="preserve"> SEQ CHAPTER \h \r 1</w:instrText>
      </w:r>
      <w:r w:rsidRPr="0056789A">
        <w:rPr>
          <w:b/>
          <w:bCs/>
          <w:lang w:val="en-CA"/>
        </w:rPr>
        <w:fldChar w:fldCharType="end"/>
      </w:r>
      <w:r w:rsidR="00186065" w:rsidRPr="0056789A">
        <w:rPr>
          <w:b/>
          <w:bCs/>
        </w:rPr>
        <w:t>NOTICE OF PROPOSED PROPERTY TAX INCREASE FOR</w:t>
      </w:r>
    </w:p>
    <w:p w:rsidR="00186065" w:rsidRPr="0056789A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bCs/>
        </w:rPr>
      </w:pPr>
      <w:r>
        <w:rPr>
          <w:b/>
          <w:bCs/>
        </w:rPr>
        <w:t>LISLE</w:t>
      </w:r>
      <w:r w:rsidRPr="0056789A">
        <w:rPr>
          <w:b/>
          <w:bCs/>
        </w:rPr>
        <w:t xml:space="preserve"> TOWNSHIP, DUPAGE COUNTY, ILLINOIS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</w:pPr>
      <w:r>
        <w:t>I.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A public hearing to approve a proposed property tax levy increase for Lisle Township for 2013 will be held on November 13, 2013, at 7:30 p.m. at the Lisle Township office, 4711 Indiana Avenue, Lisle, Illinois.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 xml:space="preserve">Any person desiring to appear at the public hearing and present testimony to the taxing district may contact Rick Tarulis, Township Supervisor, </w:t>
      </w:r>
      <w:r w:rsidR="00DA44E2">
        <w:t xml:space="preserve">at </w:t>
      </w:r>
      <w:r>
        <w:t xml:space="preserve">4711 Indiana Ave., Lisle, IL 60532 </w:t>
      </w:r>
      <w:r w:rsidR="00DA44E2">
        <w:t>or</w:t>
      </w:r>
      <w:r>
        <w:t xml:space="preserve"> (630) 968-2087</w:t>
      </w:r>
      <w:r w:rsidR="00DA44E2">
        <w:t xml:space="preserve"> or RTarulis@LisleTownship.com</w:t>
      </w:r>
      <w:r>
        <w:t>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both"/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</w:pPr>
      <w:proofErr w:type="gramStart"/>
      <w:r>
        <w:t>II.</w:t>
      </w:r>
      <w:proofErr w:type="gramEnd"/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The corporate and special purpose property taxes extended or abated for 2012 were $1,1</w:t>
      </w:r>
      <w:r w:rsidR="004A2EBB">
        <w:t>67,747.38</w:t>
      </w:r>
      <w:r>
        <w:t>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The proposed corporate and special purpose property taxes to be levied for 2013 are $</w:t>
      </w:r>
      <w:r w:rsidR="004933F1">
        <w:t>2</w:t>
      </w:r>
      <w:r>
        <w:t>,</w:t>
      </w:r>
      <w:r w:rsidR="004933F1">
        <w:t>4</w:t>
      </w:r>
      <w:r w:rsidR="004A2EBB">
        <w:t>91,250</w:t>
      </w:r>
      <w:r>
        <w:t xml:space="preserve">.00.  This represents a </w:t>
      </w:r>
      <w:r w:rsidR="00DA44E2">
        <w:t>113.33</w:t>
      </w:r>
      <w:r>
        <w:t>% increase over the previous year.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</w:pPr>
      <w:proofErr w:type="gramStart"/>
      <w:smartTag w:uri="urn:schemas-microsoft-com:office:smarttags" w:element="stockticker">
        <w:r>
          <w:t>III</w:t>
        </w:r>
      </w:smartTag>
      <w:r>
        <w:t>.</w:t>
      </w:r>
      <w:proofErr w:type="gramEnd"/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The property taxes extended for debt service and public building commission leases for 20</w:t>
      </w:r>
      <w:r w:rsidR="004933F1">
        <w:t>12</w:t>
      </w:r>
      <w:r>
        <w:t xml:space="preserve"> were $0.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The estimated property taxes to be levied for debt service and public building commission leases for 201</w:t>
      </w:r>
      <w:r w:rsidR="004933F1">
        <w:t>3</w:t>
      </w:r>
      <w:r>
        <w:t xml:space="preserve"> are $0.  This represents a 0% increase over the previous year.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</w:pPr>
      <w:proofErr w:type="gramStart"/>
      <w:r>
        <w:t>IV.</w:t>
      </w:r>
      <w:proofErr w:type="gramEnd"/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The total property taxes extended or abated for 20</w:t>
      </w:r>
      <w:r w:rsidR="004933F1">
        <w:t>12</w:t>
      </w:r>
      <w:r>
        <w:t xml:space="preserve"> were $</w:t>
      </w:r>
      <w:r w:rsidR="00DA44E2">
        <w:t>1,167,747.38</w:t>
      </w:r>
      <w:r>
        <w:t xml:space="preserve">. 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  <w:r>
        <w:t>The estimated total property taxes to be levied for 201</w:t>
      </w:r>
      <w:r w:rsidR="004933F1">
        <w:t>3</w:t>
      </w:r>
      <w:r>
        <w:t xml:space="preserve"> are $</w:t>
      </w:r>
      <w:r w:rsidR="004933F1">
        <w:t>2,</w:t>
      </w:r>
      <w:r w:rsidR="00DA44E2">
        <w:t>491,250.00</w:t>
      </w:r>
      <w:r w:rsidR="004933F1">
        <w:t xml:space="preserve">.  </w:t>
      </w:r>
      <w:r>
        <w:t xml:space="preserve">This represents a </w:t>
      </w:r>
      <w:r w:rsidR="00DA44E2">
        <w:t>113.33</w:t>
      </w:r>
      <w:r>
        <w:t>% increase over the previous year.</w:t>
      </w: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186065" w:rsidRDefault="00186065" w:rsidP="000B795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</w:pPr>
    </w:p>
    <w:p w:rsidR="00A77AA4" w:rsidRDefault="00A77AA4"/>
    <w:sectPr w:rsidR="00A77AA4" w:rsidSect="00546F56">
      <w:pgSz w:w="12240" w:h="15840" w:code="1"/>
      <w:pgMar w:top="1440" w:right="1440" w:bottom="1440" w:left="1440" w:header="1440" w:footer="144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5"/>
    <w:rsid w:val="000B7955"/>
    <w:rsid w:val="00186065"/>
    <w:rsid w:val="001D65BF"/>
    <w:rsid w:val="001F1709"/>
    <w:rsid w:val="002C7723"/>
    <w:rsid w:val="004933F1"/>
    <w:rsid w:val="004A2EBB"/>
    <w:rsid w:val="00550FCE"/>
    <w:rsid w:val="005707F7"/>
    <w:rsid w:val="005D6862"/>
    <w:rsid w:val="005D6CEF"/>
    <w:rsid w:val="00780CE1"/>
    <w:rsid w:val="007D74FB"/>
    <w:rsid w:val="009447AE"/>
    <w:rsid w:val="00A71B55"/>
    <w:rsid w:val="00A77AA4"/>
    <w:rsid w:val="00AA18E4"/>
    <w:rsid w:val="00AD6F3F"/>
    <w:rsid w:val="00C80D6B"/>
    <w:rsid w:val="00DA44E2"/>
    <w:rsid w:val="00DF5C87"/>
    <w:rsid w:val="00E330F6"/>
    <w:rsid w:val="00F8359C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823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8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82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82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823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482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4823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paragraph" w:styleId="NoSpacing">
    <w:name w:val="No Spacing"/>
    <w:uiPriority w:val="1"/>
    <w:qFormat/>
    <w:rsid w:val="00FA4823"/>
    <w:pPr>
      <w:spacing w:after="0" w:line="240" w:lineRule="auto"/>
    </w:pPr>
    <w:rPr>
      <w:rFonts w:ascii="Courier New" w:hAnsi="Courier New" w:cs="Courier New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823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8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82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82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823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A482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4823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</w:rPr>
  </w:style>
  <w:style w:type="paragraph" w:styleId="NoSpacing">
    <w:name w:val="No Spacing"/>
    <w:uiPriority w:val="1"/>
    <w:qFormat/>
    <w:rsid w:val="00FA4823"/>
    <w:pPr>
      <w:spacing w:after="0" w:line="240" w:lineRule="auto"/>
    </w:pPr>
    <w:rPr>
      <w:rFonts w:ascii="Courier New" w:hAnsi="Courier New" w:cs="Courier New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4</cp:revision>
  <cp:lastPrinted>2013-10-02T14:26:00Z</cp:lastPrinted>
  <dcterms:created xsi:type="dcterms:W3CDTF">2013-09-20T14:39:00Z</dcterms:created>
  <dcterms:modified xsi:type="dcterms:W3CDTF">2013-10-02T14:26:00Z</dcterms:modified>
</cp:coreProperties>
</file>